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生物与健康系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2025年度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职业技能等级认定工作方案</w:t>
      </w:r>
    </w:p>
    <w:p>
      <w:pP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一、招生专业概况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池州职业技术学院生物与健康系下设动物医养技术专业群、健康服务专业群。动物医养技术专业群成立于2023年11月，下设动物医学、动物防疫与检疫、宠物医疗技术三大专业，其中动物医学、动物防疫与检疫专业为省级高水平特色专业。专业群以岗位需求为导向，以动物医学专业为核心，动物防疫与检疫和宠物医疗技术两大专业为协同，组群发展。健康服务专业群成立于2023年11月，下设护理、中医养生保健、老年保健与管理等专业，其中护理专业为院级重点专业。专业群以岗位需求为导向，对接医疗—康养产业链条，以护理专业为核心，中医养生保健专业为协同，组群发展。现有专职教师42人，其中教授2人，副教授7人，讲师10人，省级专业团队带头人1人，省级教学名师2人，省级教坛新秀3人，院级专业带头人2人，院级青年骨干教师1名，拥有硕士学位或硕士在读26人。同时，外聘了十余名来自医院、科研院所和行业一线的兼职教师(客座教授)，形成了“双师素质”和“专兼结合”的专业教学团队，其中动物防疫与检疫、动物医学、护理专业教学团队为安徽省高水平教学团队。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二、申请开展认定对象、职业工种和评价方式</w:t>
      </w:r>
    </w:p>
    <w:p>
      <w:pPr>
        <w:ind w:firstLine="640" w:firstLineChars="200"/>
        <w:jc w:val="center"/>
        <w:rPr>
          <w:rFonts w:hint="eastAsia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表一 职业工种范围和评价方式</w:t>
      </w:r>
    </w:p>
    <w:tbl>
      <w:tblPr>
        <w:tblStyle w:val="10"/>
        <w:tblW w:w="8931" w:type="dxa"/>
        <w:tblInd w:w="-2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899"/>
        <w:gridCol w:w="444"/>
        <w:gridCol w:w="1212"/>
        <w:gridCol w:w="1416"/>
        <w:gridCol w:w="3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456" w:type="dxa"/>
            <w:vMerge w:val="restart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  <w:t>序号</w:t>
            </w:r>
          </w:p>
        </w:tc>
        <w:tc>
          <w:tcPr>
            <w:tcW w:w="1899" w:type="dxa"/>
            <w:vMerge w:val="restart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  <w:t>认定对象</w:t>
            </w:r>
          </w:p>
        </w:tc>
        <w:tc>
          <w:tcPr>
            <w:tcW w:w="444" w:type="dxa"/>
            <w:vMerge w:val="restart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  <w:t>级别</w:t>
            </w:r>
          </w:p>
        </w:tc>
        <w:tc>
          <w:tcPr>
            <w:tcW w:w="2628" w:type="dxa"/>
            <w:gridSpan w:val="2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  <w:t>职业工种</w:t>
            </w:r>
          </w:p>
        </w:tc>
        <w:tc>
          <w:tcPr>
            <w:tcW w:w="3504" w:type="dxa"/>
            <w:vMerge w:val="restart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  <w:t>评价方式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</w:pPr>
          </w:p>
        </w:tc>
        <w:tc>
          <w:tcPr>
            <w:tcW w:w="1899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</w:pPr>
          </w:p>
        </w:tc>
        <w:tc>
          <w:tcPr>
            <w:tcW w:w="444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</w:pPr>
          </w:p>
        </w:tc>
        <w:tc>
          <w:tcPr>
            <w:tcW w:w="1212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  <w:t>职业名称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  <w:t>职业编号</w:t>
            </w:r>
          </w:p>
        </w:tc>
        <w:tc>
          <w:tcPr>
            <w:tcW w:w="3504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1</w:t>
            </w:r>
          </w:p>
        </w:tc>
        <w:tc>
          <w:tcPr>
            <w:tcW w:w="18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我系2022级动物医学、动物防疫与检疫、宠物医疗技术专业学生</w:t>
            </w:r>
          </w:p>
        </w:tc>
        <w:tc>
          <w:tcPr>
            <w:tcW w:w="4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动物疫病防治员</w:t>
            </w:r>
          </w:p>
        </w:tc>
        <w:tc>
          <w:tcPr>
            <w:tcW w:w="141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5-05-02-03</w:t>
            </w:r>
          </w:p>
        </w:tc>
        <w:tc>
          <w:tcPr>
            <w:tcW w:w="350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通过对于《动物疫病防治员国家职业标准》融合度高的香港理论和实践课程的学习成绩，进行综合审核、评价，从而认定学生的职业技能等级。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2</w:t>
            </w: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我系2022级动物医学、动物防疫与检疫、宠物医疗技术专业学生</w:t>
            </w: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动物检疫检验员</w:t>
            </w:r>
          </w:p>
        </w:tc>
        <w:tc>
          <w:tcPr>
            <w:tcW w:w="14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5-05-02-0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通过对于《动物检疫检验员国家职业标准》融合度高的香港理论和实践课程的学习成绩，进行综合审核、评价，从而认定学生的职业技能等级。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</w:t>
            </w: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我系2022级动物医学、动物防疫与检疫、宠物医疗技术专业学生</w:t>
            </w: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宠物美容师</w:t>
            </w:r>
          </w:p>
        </w:tc>
        <w:tc>
          <w:tcPr>
            <w:tcW w:w="14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4-10-07-03</w:t>
            </w:r>
          </w:p>
        </w:tc>
        <w:tc>
          <w:tcPr>
            <w:tcW w:w="35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通过对于《宠物美容师国家职业标准》融合度高的香港理论和实践课程的学习成绩，进行综合审核、评价，从而认定学生的职业技能等级。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4</w:t>
            </w:r>
          </w:p>
        </w:tc>
        <w:tc>
          <w:tcPr>
            <w:tcW w:w="18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我系2022级护理专业学生</w:t>
            </w:r>
          </w:p>
        </w:tc>
        <w:tc>
          <w:tcPr>
            <w:tcW w:w="44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养老护理员</w:t>
            </w:r>
          </w:p>
        </w:tc>
        <w:tc>
          <w:tcPr>
            <w:tcW w:w="141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4-10-01-05</w:t>
            </w:r>
          </w:p>
        </w:tc>
        <w:tc>
          <w:tcPr>
            <w:tcW w:w="35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通过对于《养老护理员国家职业标准》融合度高的香港理论和实践课程的学习成绩，进行综合审核、评价，从而认定学生的职业技能等级。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5</w:t>
            </w: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我系2022级中医养生与保健专业学生</w:t>
            </w: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保健调理师</w:t>
            </w:r>
          </w:p>
        </w:tc>
        <w:tc>
          <w:tcPr>
            <w:tcW w:w="14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4-10-04-01</w:t>
            </w:r>
          </w:p>
        </w:tc>
        <w:tc>
          <w:tcPr>
            <w:tcW w:w="3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通过对于《保健调理师国家职业标准》融合度高的香港理论和实践课程的学习成绩，进行综合审核、评价，从而认定学生的职业技能等级。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6</w:t>
            </w: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我系2022级中医养生与保健专业学生</w:t>
            </w: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保健按摩师</w:t>
            </w:r>
          </w:p>
        </w:tc>
        <w:tc>
          <w:tcPr>
            <w:tcW w:w="14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4-10-04-0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通过对于《保健按摩师国家职业标准》融合度高的香港理论和实践课程的学习成绩，进行综合审核、评价，从而认定学生的职业技能等级。</w:t>
            </w:r>
          </w:p>
        </w:tc>
      </w:tr>
    </w:tbl>
    <w:p>
      <w:pP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三、开展认定工作的保障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（一）组织保障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成立职业技能等级认定工作领导小组：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组长：聂龙盛、孙浩</w:t>
      </w:r>
    </w:p>
    <w:p>
      <w:pPr>
        <w:ind w:firstLine="640" w:firstLineChars="200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成员：何光好、曾叶纯、汪辉进、许二学、胡茜琪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领导小组负责统筹协调整个认定工作，制定认定工作政策和决策，解决工作中遇到的重大问题。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同时，设立考务组：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组长：汪辉进</w:t>
      </w:r>
    </w:p>
    <w:p>
      <w:pPr>
        <w:ind w:firstLine="640" w:firstLineChars="200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成员:王斯凌、方杰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设立评审组：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组长：孙浩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成员:许二学、胡茜琪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设立监督组：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组长：聂龙盛</w:t>
      </w:r>
    </w:p>
    <w:p>
      <w:pPr>
        <w:ind w:firstLine="640" w:firstLineChars="200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成员：何光好、曾叶纯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明确各小组职责，确保认定工作顺利开展。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场地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保障</w:t>
      </w:r>
    </w:p>
    <w:p>
      <w:pPr>
        <w:ind w:firstLine="640" w:firstLineChars="200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建有基础护理实训室、模拟病房、动物诊疗实训室、宠物美容实训室、动物检疫检验实训室等，拥有充足的教学仪器设备，实训场地、设备、工具、材料等配置应满足对应职业（工种）和等级技能训练及考核的要求，符合安全规范。场地提前布置、封闭，同时安排设备工程师处理应急事务。确保认定工作公平、顺利进行。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三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）制度保障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制定完善的职业技能等级认定工作制度，包括认定实施细则、考评员管理办法、质量监督管理办法等，明确认定工作的各个环节和流程，规范工作人员行为，确保认定工作有章可循。建立健全质量监督机制，对认定工作全过程进行监督检查，确保认定结果真实、可靠、有效。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四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）人员保障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选拔和培训专业的考评人员和考务人员。考评人员从校内教师、合作企业技术人员和行业专家中选取，要求具备丰富的专业知识和实践经验，并参加统一的考评员培训，取得考评员资格证书。考务人员通过专门培训，熟悉认定工作流程和要求，保障考试的公平、公正、有序进行。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五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）教学、标准、试题保障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本系教师“双师型”教师比例达85%，具备培养符合认定要求的学生的能力。相关专业的人才培养方案和课程标准的更新经行业专家、企业专家共同评审，符合相关专业职业技能等级认定的要求。同时构建动态题库体系，结合行业发展动态更新题型，覆盖理论与实操核心要点。建立试题审核机制，通过专家论证、模拟测试验证科学性，同时严守保密规范，从命制、存储到使用全流程管控。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六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质量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保障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建立全流程监管体系。严把机构资质审核关，规范考评人员持证上岗；制定认定过程质控标准，细化报名、考核、评分等环节操作规范；建立动态督导机制，通过现场巡查、数据抽检与结果回溯强化过程监督；畅通申诉反馈渠道，确保认定工作公平公正、结果可追溯。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七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信息化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保障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搭建认定管理平台，整合报名、审核等流程线上功能，实现数据互通与智能管理。支持远程监控、电子题库抽取，确保过程留痕可追溯。部署安全防护体系，通过加密存储、权限分级与灾备机制保障数据安全，依托大数据分析优化认定流程，提升工作效率与信息化水平。</w:t>
      </w:r>
    </w:p>
    <w:p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（八）经费保障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科学编制预算，按认定规模、环节细化资金需求，涵盖场地租赁、设备购置、专家劳务等支出。建立专项账户规范资金管理，严格执行审批流程与审计监督，确保专款专用。拓宽经费来源渠道，争取财政支持的同时，探索与企业、行业合作共担机制，动态优化投入结构，为认定工作提供稳定的资金保障。</w:t>
      </w:r>
    </w:p>
    <w:p>
      <w:pP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四、认定工作流程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宣传报名：通过广泛动员宣传发布认定工作通知，明确报名条件、时间、方式和所需材料。考生登录指定报名平台，填写个人信息，提交相关证明材料，完成报名手续。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资格审核：考务组对考生提交的报名材料进行审核，包括学历证书、成绩证明等，核实考生是否符合认定条件。审核通过的考生名单在指定平台公示。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成绩评定与公示：考务组汇总考生成绩，进行成绩评定。将认定结果在指定平台公示，公示期为5个工作日。</w:t>
      </w:r>
    </w:p>
    <w:p>
      <w:pP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五、工作计划</w:t>
      </w:r>
    </w:p>
    <w:p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（一）准备阶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段（[具体时间段 5月6日-5月19日]）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1.完成认定工作方案制定，明确认定对象、工种、评价方式等内容。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2.组建职业技能等级认定工作领导小组和各工作小组，明确职责分工。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3.制定认定工作相关制度和实施细则。</w:t>
      </w:r>
    </w:p>
    <w:p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（二）宣传报名阶段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（[具体时间段 5月20日-6月6日]）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1.发布认定工作通知，开展宣传动员工作，积极组织符</w:t>
      </w:r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合条件的应届毕业生报名，每生只报一个职业。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2.组织考生报名，收集和审核报名材料《职业技能等级认定申请表》。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3.确定符合认定条件的考生名单。</w:t>
      </w:r>
    </w:p>
    <w:p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三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成绩认定阶段（[具体时间段 6月7日-6月20日]）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1.对申报材料进行初步审核。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2.出具评审意见。</w:t>
      </w:r>
    </w:p>
    <w:p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3.对认定工作进行总结，分析存在问题，提出改进措施，为后续认定工作积累经验。</w:t>
      </w:r>
    </w:p>
    <w:p>
      <w:pPr>
        <w:ind w:firstLine="640" w:firstLineChars="200"/>
        <w:jc w:val="right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生物与健康系</w:t>
      </w:r>
    </w:p>
    <w:p>
      <w:pPr>
        <w:ind w:firstLine="640" w:firstLineChars="200"/>
        <w:jc w:val="righ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2025年5月30日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7F4609"/>
    <w:multiLevelType w:val="multilevel"/>
    <w:tmpl w:val="3E7F4609"/>
    <w:lvl w:ilvl="0" w:tentative="0">
      <w:start w:val="1"/>
      <w:numFmt w:val="chineseCountingThousand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chineseCountingThousand"/>
      <w:pStyle w:val="2"/>
      <w:lvlText w:val="（%2）"/>
      <w:lvlJc w:val="left"/>
      <w:pPr>
        <w:ind w:left="3359" w:hanging="567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5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Mjk4ZmVhNTMzOGVkNDM3ZmJhNjIzOGMzNWFkYTAifQ=="/>
  </w:docVars>
  <w:rsids>
    <w:rsidRoot w:val="00000000"/>
    <w:rsid w:val="01521E9A"/>
    <w:rsid w:val="01AC264C"/>
    <w:rsid w:val="02A47361"/>
    <w:rsid w:val="04F3592C"/>
    <w:rsid w:val="053D407E"/>
    <w:rsid w:val="09CA5EA0"/>
    <w:rsid w:val="0BBD62CF"/>
    <w:rsid w:val="0FD26785"/>
    <w:rsid w:val="101626F1"/>
    <w:rsid w:val="13172CDE"/>
    <w:rsid w:val="132424E8"/>
    <w:rsid w:val="15920338"/>
    <w:rsid w:val="17DA5D72"/>
    <w:rsid w:val="19495C31"/>
    <w:rsid w:val="1B6D04C4"/>
    <w:rsid w:val="1CBB2985"/>
    <w:rsid w:val="1EC43AD5"/>
    <w:rsid w:val="221D6C42"/>
    <w:rsid w:val="25C74D49"/>
    <w:rsid w:val="2CBC370D"/>
    <w:rsid w:val="2E8452CD"/>
    <w:rsid w:val="304E08C9"/>
    <w:rsid w:val="331F1834"/>
    <w:rsid w:val="336765E2"/>
    <w:rsid w:val="38DE5183"/>
    <w:rsid w:val="3AFA61C6"/>
    <w:rsid w:val="3B4F0A10"/>
    <w:rsid w:val="3BB75709"/>
    <w:rsid w:val="3D9A4939"/>
    <w:rsid w:val="4AA864F1"/>
    <w:rsid w:val="4EFC748A"/>
    <w:rsid w:val="4F236E4B"/>
    <w:rsid w:val="500365D1"/>
    <w:rsid w:val="53A31046"/>
    <w:rsid w:val="55CE4284"/>
    <w:rsid w:val="573C08AD"/>
    <w:rsid w:val="58CA7DEC"/>
    <w:rsid w:val="5949510A"/>
    <w:rsid w:val="5C7B745F"/>
    <w:rsid w:val="64373621"/>
    <w:rsid w:val="657D3F38"/>
    <w:rsid w:val="67DC1D0E"/>
    <w:rsid w:val="6C144CD3"/>
    <w:rsid w:val="6E484A84"/>
    <w:rsid w:val="6E7547F6"/>
    <w:rsid w:val="713B6CCF"/>
    <w:rsid w:val="731F10EE"/>
    <w:rsid w:val="79A875A6"/>
    <w:rsid w:val="7C1F52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autoRedefine/>
    <w:unhideWhenUsed/>
    <w:qFormat/>
    <w:uiPriority w:val="9"/>
    <w:pPr>
      <w:keepNext/>
      <w:keepLines/>
      <w:widowControl/>
      <w:numPr>
        <w:ilvl w:val="1"/>
        <w:numId w:val="1"/>
      </w:numPr>
      <w:tabs>
        <w:tab w:val="left" w:pos="1418"/>
      </w:tabs>
      <w:adjustRightInd w:val="0"/>
      <w:snapToGrid w:val="0"/>
      <w:spacing w:line="560" w:lineRule="exact"/>
      <w:ind w:left="0" w:firstLine="720" w:firstLineChars="200"/>
      <w:jc w:val="left"/>
      <w:outlineLvl w:val="1"/>
    </w:pPr>
    <w:rPr>
      <w:rFonts w:ascii="Times New Roman" w:hAnsi="Times New Roman" w:eastAsia="黑体" w:cs="Times New Roman"/>
      <w:kern w:val="2"/>
      <w:sz w:val="32"/>
      <w:szCs w:val="30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标题 11"/>
    <w:basedOn w:val="1"/>
    <w:autoRedefine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/>
      <w:b/>
      <w:bCs/>
      <w:kern w:val="44"/>
      <w:sz w:val="48"/>
      <w:szCs w:val="48"/>
      <w:lang w:val="en-US" w:eastAsia="zh-CN" w:bidi="ar"/>
    </w:rPr>
  </w:style>
  <w:style w:type="paragraph" w:customStyle="1" w:styleId="6">
    <w:name w:val="标题 21"/>
    <w:basedOn w:val="1"/>
    <w:autoRedefine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/>
      <w:b/>
      <w:bCs/>
      <w:kern w:val="0"/>
      <w:sz w:val="36"/>
      <w:szCs w:val="36"/>
      <w:lang w:val="en-US" w:eastAsia="zh-CN" w:bidi="ar"/>
    </w:rPr>
  </w:style>
  <w:style w:type="paragraph" w:customStyle="1" w:styleId="7">
    <w:name w:val="标题 31"/>
    <w:basedOn w:val="1"/>
    <w:autoRedefine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/>
      <w:b/>
      <w:bCs/>
      <w:kern w:val="0"/>
      <w:sz w:val="27"/>
      <w:szCs w:val="27"/>
      <w:lang w:val="en-US" w:eastAsia="zh-CN" w:bidi="ar"/>
    </w:rPr>
  </w:style>
  <w:style w:type="character" w:customStyle="1" w:styleId="8">
    <w:name w:val="默认段落字体1"/>
    <w:link w:val="1"/>
    <w:autoRedefine/>
    <w:semiHidden/>
    <w:qFormat/>
    <w:uiPriority w:val="0"/>
  </w:style>
  <w:style w:type="table" w:customStyle="1" w:styleId="9">
    <w:name w:val="普通表格1"/>
    <w:autoRedefine/>
    <w:semiHidden/>
    <w:qFormat/>
    <w:uiPriority w:val="0"/>
  </w:style>
  <w:style w:type="table" w:customStyle="1" w:styleId="10">
    <w:name w:val="网格型1"/>
    <w:basedOn w:val="9"/>
    <w:autoRedefine/>
    <w:qFormat/>
    <w:uiPriority w:val="0"/>
    <w:pPr>
      <w:widowControl w:val="0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2766</Words>
  <Characters>2873</Characters>
  <Lines>0</Lines>
  <Paragraphs>0</Paragraphs>
  <TotalTime>43</TotalTime>
  <ScaleCrop>false</ScaleCrop>
  <LinksUpToDate>false</LinksUpToDate>
  <CharactersWithSpaces>2877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2025-05-15T11:05:00Z</dcterms:created>
  <dc:creator>不虐不舒服斯基</dc:creator>
  <cp:lastModifiedBy>零点五黑</cp:lastModifiedBy>
  <cp:lastPrinted>2025-05-30T06:33:57Z</cp:lastPrinted>
  <dcterms:modified xsi:type="dcterms:W3CDTF">2025-05-30T06:59:39Z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eyJoZGlkIjoiZWIzMzQyYzQ2NmI2MGE0NzE5NGQxOWRhZGRiZDAyMmIiLCJ1c2VySWQiOiIzMTk0NjEzMDMifQ==</vt:lpwstr>
  </property>
  <property fmtid="{D5CDD505-2E9C-101B-9397-08002B2CF9AE}" pid="3" name="KSOProductBuildVer">
    <vt:lpwstr>2052-12.1.0.16120</vt:lpwstr>
  </property>
  <property fmtid="{D5CDD505-2E9C-101B-9397-08002B2CF9AE}" pid="4" name="ICV">
    <vt:lpwstr>AEF8018116F14123A9E47DDB87B9F262_13</vt:lpwstr>
  </property>
</Properties>
</file>